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Safeguarding Learner Policy</w:t>
      </w:r>
    </w:p>
    <w:p>
      <w:pPr>
        <w:pStyle w:val="Subtitle"/>
      </w:pPr>
      <w:r>
        <w:t>How TriageTrail recognises and responds to concerns about children and adults at risk in an online education service.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48"/>
        <w:gridCol w:w="7056"/>
      </w:tblGrid>
      <w:tr>
        <w:trPr>
          <w:tblHeader w:val="true"/>
        </w:trPr>
        <w:tc>
          <w:tcPr>
            <w:tcW w:type="dxa" w:w="2448"/>
            <w:shd w:fill="123D3A"/>
            <w:vAlign w:val="center"/>
          </w:tcPr>
          <w:p>
            <w:r>
              <w:rPr>
                <w:b/>
                <w:color w:val="FFFFFF"/>
              </w:rPr>
              <w:t>Organisation</w:t>
            </w:r>
          </w:p>
        </w:tc>
        <w:tc>
          <w:tcPr>
            <w:tcW w:type="dxa" w:w="7056"/>
            <w:shd w:fill="EAF6F0"/>
            <w:vAlign w:val="center"/>
          </w:tcPr>
          <w:p>
            <w:r>
              <w:t>TriageTrail Medical Academy Ltd</w:t>
            </w:r>
          </w:p>
        </w:tc>
      </w:tr>
      <w:tr>
        <w:tc>
          <w:tcPr>
            <w:tcW w:type="dxa" w:w="2448"/>
            <w:shd w:fill="E9EFED"/>
            <w:vAlign w:val="center"/>
          </w:tcPr>
          <w:p>
            <w:r>
              <w:rPr>
                <w:b/>
                <w:color w:val="172321"/>
              </w:rPr>
              <w:t>Company number</w:t>
            </w:r>
          </w:p>
        </w:tc>
        <w:tc>
          <w:tcPr>
            <w:tcW w:type="dxa" w:w="7056"/>
            <w:shd w:fill="FFFFFF"/>
            <w:vAlign w:val="center"/>
          </w:tcPr>
          <w:p>
            <w:r>
              <w:t>17503559</w:t>
            </w:r>
          </w:p>
        </w:tc>
      </w:tr>
      <w:tr>
        <w:tc>
          <w:tcPr>
            <w:tcW w:type="dxa" w:w="2448"/>
            <w:shd w:fill="E9EFED"/>
            <w:vAlign w:val="center"/>
          </w:tcPr>
          <w:p>
            <w:r>
              <w:rPr>
                <w:b/>
                <w:color w:val="172321"/>
              </w:rPr>
              <w:t>Policy owner</w:t>
            </w:r>
          </w:p>
        </w:tc>
        <w:tc>
          <w:tcPr>
            <w:tcW w:type="dxa" w:w="7056"/>
            <w:shd w:fill="EAF6F0"/>
            <w:vAlign w:val="center"/>
          </w:tcPr>
          <w:p>
            <w:r>
              <w:t>Ben Harper, Director</w:t>
            </w:r>
          </w:p>
        </w:tc>
      </w:tr>
      <w:tr>
        <w:tc>
          <w:tcPr>
            <w:tcW w:type="dxa" w:w="2448"/>
            <w:shd w:fill="E9EFED"/>
            <w:vAlign w:val="center"/>
          </w:tcPr>
          <w:p>
            <w:r>
              <w:rPr>
                <w:b/>
                <w:color w:val="172321"/>
              </w:rPr>
              <w:t>Version</w:t>
            </w:r>
          </w:p>
        </w:tc>
        <w:tc>
          <w:tcPr>
            <w:tcW w:type="dxa" w:w="7056"/>
            <w:shd w:fill="FFFFFF"/>
            <w:vAlign w:val="center"/>
          </w:tcPr>
          <w:p>
            <w:r>
              <w:t>1.0</w:t>
            </w:r>
          </w:p>
        </w:tc>
      </w:tr>
      <w:tr>
        <w:tc>
          <w:tcPr>
            <w:tcW w:type="dxa" w:w="2448"/>
            <w:shd w:fill="E9EFED"/>
            <w:vAlign w:val="center"/>
          </w:tcPr>
          <w:p>
            <w:r>
              <w:rPr>
                <w:b/>
                <w:color w:val="172321"/>
              </w:rPr>
              <w:t>Effective date</w:t>
            </w:r>
          </w:p>
        </w:tc>
        <w:tc>
          <w:tcPr>
            <w:tcW w:type="dxa" w:w="7056"/>
            <w:shd w:fill="EAF6F0"/>
            <w:vAlign w:val="center"/>
          </w:tcPr>
          <w:p>
            <w:r>
              <w:t>7 October 2026</w:t>
            </w:r>
          </w:p>
        </w:tc>
      </w:tr>
      <w:tr>
        <w:tc>
          <w:tcPr>
            <w:tcW w:type="dxa" w:w="2448"/>
            <w:shd w:fill="E9EFED"/>
            <w:vAlign w:val="center"/>
          </w:tcPr>
          <w:p>
            <w:r>
              <w:rPr>
                <w:b/>
                <w:color w:val="172321"/>
              </w:rPr>
              <w:t>Next review</w:t>
            </w:r>
          </w:p>
        </w:tc>
        <w:tc>
          <w:tcPr>
            <w:tcW w:type="dxa" w:w="7056"/>
            <w:shd w:fill="FFFFFF"/>
            <w:vAlign w:val="center"/>
          </w:tcPr>
          <w:p>
            <w:r>
              <w:t>7 October 2027</w:t>
            </w:r>
          </w:p>
        </w:tc>
      </w:tr>
      <w:tr>
        <w:tc>
          <w:tcPr>
            <w:tcW w:type="dxa" w:w="2448"/>
            <w:shd w:fill="E9EFED"/>
            <w:vAlign w:val="center"/>
          </w:tcPr>
          <w:p>
            <w:r>
              <w:rPr>
                <w:b/>
                <w:color w:val="172321"/>
              </w:rPr>
              <w:t>Contact route</w:t>
            </w:r>
          </w:p>
        </w:tc>
        <w:tc>
          <w:tcPr>
            <w:tcW w:type="dxa" w:w="7056"/>
            <w:shd w:fill="EAF6F0"/>
            <w:vAlign w:val="center"/>
          </w:tcPr>
          <w:p>
            <w:r>
              <w:t>https://triagetrail.uk/contact</w:t>
            </w:r>
          </w:p>
        </w:tc>
      </w:tr>
    </w:tbl>
    <w:p/>
    <w:p>
      <w:pPr>
        <w:pStyle w:val="Heading1"/>
      </w:pPr>
      <w:r>
        <w:t>Scope and boundaries</w:t>
      </w:r>
    </w:p>
    <w:p>
      <w:r>
        <w:t>TriageTrail currently provides online professional education and does not deliver patient care through the learning platform. Safeguarding remains relevant because a learner may disclose risk, course discussion may raise concern, or educational content may involve vulnerable people. This policy applies to directors, staff, tutors, reviewers, contractors and learners.</w:t>
      </w:r>
    </w:p>
    <w:p>
      <w:pPr>
        <w:pStyle w:val="Heading1"/>
      </w:pPr>
      <w:r>
        <w:t>Principles</w:t>
      </w:r>
    </w:p>
    <w:p>
      <w:pPr>
        <w:pStyle w:val="ListBullet"/>
      </w:pPr>
      <w:r>
        <w:t>The welfare and immediate safety of the person at risk come first.</w:t>
      </w:r>
    </w:p>
    <w:p>
      <w:pPr>
        <w:pStyle w:val="ListBullet"/>
      </w:pPr>
      <w:r>
        <w:t>Concerns are taken seriously, recorded factually and shared only where necessary and lawful.</w:t>
      </w:r>
    </w:p>
    <w:p>
      <w:pPr>
        <w:pStyle w:val="ListBullet"/>
      </w:pPr>
      <w:r>
        <w:t>TriageTrail does not promise secrecy or investigate beyond its role.</w:t>
      </w:r>
    </w:p>
    <w:p>
      <w:pPr>
        <w:pStyle w:val="ListBullet"/>
      </w:pPr>
      <w:r>
        <w:t>Action is proportionate, timely, person-centred and attentive to children, adults at risk, domestic abuse, exploitation and self-neglect.</w:t>
      </w:r>
    </w:p>
    <w:p>
      <w:pPr>
        <w:pStyle w:val="ListBullet"/>
      </w:pPr>
      <w:r>
        <w:t>Online education and a support inbox are not emergency services.</w:t>
      </w:r>
    </w:p>
    <w:p>
      <w:pPr>
        <w:pStyle w:val="Heading1"/>
      </w:pPr>
      <w:r>
        <w:t>Recognising concerns</w:t>
      </w:r>
    </w:p>
    <w:p>
      <w:pPr>
        <w:pStyle w:val="ListBullet"/>
      </w:pPr>
      <w:r>
        <w:t>A direct disclosure of abuse, neglect, coercion, exploitation or immediate danger</w:t>
      </w:r>
    </w:p>
    <w:p>
      <w:pPr>
        <w:pStyle w:val="ListBullet"/>
      </w:pPr>
      <w:r>
        <w:t>Threats of serious self-harm or harm to others</w:t>
      </w:r>
    </w:p>
    <w:p>
      <w:pPr>
        <w:pStyle w:val="ListBullet"/>
      </w:pPr>
      <w:r>
        <w:t>Patient-identifiable information suggesting a person is at risk</w:t>
      </w:r>
    </w:p>
    <w:p>
      <w:pPr>
        <w:pStyle w:val="ListBullet"/>
      </w:pPr>
      <w:r>
        <w:t>Concerning conduct in a learning interaction</w:t>
      </w:r>
    </w:p>
    <w:p>
      <w:pPr>
        <w:pStyle w:val="ListBullet"/>
      </w:pPr>
      <w:r>
        <w:t>Patterns of harassment, grooming, hate or exploitation affecting a learner</w:t>
      </w:r>
    </w:p>
    <w:p>
      <w:pPr>
        <w:pStyle w:val="Heading1"/>
      </w:pPr>
      <w:r>
        <w:t>Responding to a concern</w:t>
      </w:r>
    </w:p>
    <w:p>
      <w:pPr>
        <w:pStyle w:val="ListNumber"/>
      </w:pPr>
      <w:r>
        <w:t>If danger is immediate, advise contact with 999 or the appropriate emergency service. Do not delay urgent help while completing an internal form.</w:t>
      </w:r>
    </w:p>
    <w:p>
      <w:pPr>
        <w:pStyle w:val="ListNumber"/>
      </w:pPr>
      <w:r>
        <w:t>Listen, remain calm, do not promise confidentiality and avoid leading questions.</w:t>
      </w:r>
    </w:p>
    <w:p>
      <w:pPr>
        <w:pStyle w:val="ListNumber"/>
      </w:pPr>
      <w:r>
        <w:t>Record the date, time, exact words, observed facts, people involved and action taken. Do not copy or circulate unnecessary sensitive material.</w:t>
      </w:r>
    </w:p>
    <w:p>
      <w:pPr>
        <w:pStyle w:val="ListNumber"/>
      </w:pPr>
      <w:r>
        <w:t>Report promptly to the Safeguarding Lead through the controlled contact route. The Director is the Safeguarding Lead until a separate appointment is recorded.</w:t>
      </w:r>
    </w:p>
    <w:p>
      <w:pPr>
        <w:pStyle w:val="ListNumber"/>
      </w:pPr>
      <w:r>
        <w:t>The Safeguarding Lead assesses urgency and obtains advice or refers to the relevant local authority, police, NHS route or employer safeguarding lead where lawful and necessary.</w:t>
      </w:r>
    </w:p>
    <w:p>
      <w:pPr>
        <w:pStyle w:val="ListNumber"/>
      </w:pPr>
      <w:r>
        <w:t>Confirm decisions, information sharing, rationale and follow-up.</w:t>
      </w:r>
    </w:p>
    <w:p>
      <w:pPr>
        <w:pStyle w:val="Heading1"/>
      </w:pPr>
      <w:r>
        <w:t>Online learning controls</w:t>
      </w:r>
    </w:p>
    <w:p>
      <w:r>
        <w:t>Course examples use fictional or properly de-identified information. Learners are instructed not to enter patient data. Moderated spaces, if introduced, will have conduct rules, reporting tools and escalation controls. Any future face-to-face or practical teaching requires a separate safeguarding risk assessment, safer recruitment controls and insurance confirmation.</w:t>
      </w:r>
    </w:p>
    <w:p>
      <w:pPr>
        <w:pStyle w:val="Heading1"/>
      </w:pPr>
      <w:r>
        <w:t>Confidentiality and information sharing</w:t>
      </w:r>
    </w:p>
    <w:p>
      <w:r>
        <w:t>Consent is sought where safe and appropriate, but information may be shared without consent to prevent serious harm, protect a child or adult at risk, or meet a legal duty. Only necessary information is shared with an appropriate recipient, and the decision is recorded.</w:t>
      </w:r>
    </w:p>
    <w:p>
      <w:pPr>
        <w:pStyle w:val="Heading1"/>
      </w:pPr>
      <w:r>
        <w:t>Training and review</w:t>
      </w:r>
    </w:p>
    <w:p>
      <w:r>
        <w:t>People with safeguarding responsibilities receive role-appropriate training and know how to escalate concerns. Incidents are reviewed for learning without compromising confidentiality. The policy is reviewed annually and after a serious concern or material service change.</w:t>
      </w:r>
    </w:p>
    <w:p>
      <w:pPr>
        <w:pStyle w:val="Heading1"/>
      </w:pPr>
      <w:r>
        <w:t>Approval and document control</w:t>
      </w:r>
    </w:p>
    <w:p>
      <w:r>
        <w:t>The Director approves this policy and is responsible for making it available, implementing it and reviewing it after a material change, a relevant incident or by the review date, whichever comes first.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93"/>
        <w:gridCol w:w="3293"/>
        <w:gridCol w:w="3293"/>
      </w:tblGrid>
      <w:tr>
        <w:trPr>
          <w:tblHeader w:val="true"/>
        </w:trPr>
        <w:tc>
          <w:tcPr>
            <w:tcW w:type="dxa" w:w="3293"/>
            <w:vAlign w:val="center"/>
            <w:shd w:fill="123D3A"/>
          </w:tcPr>
          <w:p>
            <w:r>
              <w:rPr>
                <w:b/>
                <w:color w:val="FFFFFF"/>
              </w:rPr>
              <w:t>Approved by</w:t>
            </w:r>
          </w:p>
        </w:tc>
        <w:tc>
          <w:tcPr>
            <w:tcW w:type="dxa" w:w="3293"/>
            <w:vAlign w:val="center"/>
            <w:shd w:fill="123D3A"/>
          </w:tcPr>
          <w:p>
            <w:r>
              <w:rPr>
                <w:b/>
                <w:color w:val="FFFFFF"/>
              </w:rPr>
              <w:t>Signature</w:t>
            </w:r>
          </w:p>
        </w:tc>
        <w:tc>
          <w:tcPr>
            <w:tcW w:type="dxa" w:w="3293"/>
            <w:vAlign w:val="center"/>
            <w:shd w:fill="123D3A"/>
          </w:tcPr>
          <w:p>
            <w:r>
              <w:rPr>
                <w:b/>
                <w:color w:val="FFFFFF"/>
              </w:rPr>
              <w:t>Date</w:t>
            </w:r>
          </w:p>
        </w:tc>
      </w:tr>
      <w:tr>
        <w:tc>
          <w:tcPr>
            <w:tcW w:type="dxa" w:w="3293"/>
            <w:vAlign w:val="center"/>
            <w:shd w:fill="FFFFFF"/>
          </w:tcPr>
          <w:p>
            <w:r>
              <w:rPr>
                <w:b/>
              </w:rPr>
              <w:t>Ben Harper, Director</w:t>
            </w:r>
          </w:p>
        </w:tc>
        <w:tc>
          <w:tcPr>
            <w:tcW w:type="dxa" w:w="3293"/>
            <w:vAlign w:val="center"/>
            <w:shd w:fill="FFFFFF"/>
          </w:tcPr>
          <w:p>
            <w:r/>
          </w:p>
        </w:tc>
        <w:tc>
          <w:tcPr>
            <w:tcW w:type="dxa" w:w="3293"/>
            <w:vAlign w:val="center"/>
            <w:shd w:fill="FFFFFF"/>
          </w:tcPr>
          <w:p>
            <w:r>
              <w:t>7 October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E6B"/>
        <w:sz w:val="16"/>
      </w:rPr>
      <w:t>Controlled policy  |  TriageTrail Medical Academy Ltd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right"/>
    </w:pPr>
    <w:r>
      <w:drawing>
        <wp:inline xmlns:a="http://schemas.openxmlformats.org/drawingml/2006/main" xmlns:pic="http://schemas.openxmlformats.org/drawingml/2006/picture">
          <wp:extent cx="310896" cy="310896"/>
          <wp:docPr id="1" name="Picture 1" descr="TriageTrail Medical Academy logo" title="TriageTrail Medical Academy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iagetrail-icon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0896" cy="310896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073453"/>
        <w:sz w:val="16"/>
      </w:rPr>
      <w:t xml:space="preserve">  TRIAGETRAIL  |  MEDICAL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7232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Safeguarding Learner Policy</dc:title>
  <dc:subject>TriageTrail Medical Academy quality policy</dc:subject>
  <dc:creator>TriageTrail Medical Academy Ltd</dc:creator>
  <cp:keywords>CPD, quality assurance, medical education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