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Reasonable Adjustments and Special Consideration Policy</w:t>
      </w:r>
    </w:p>
    <w:p>
      <w:pPr>
        <w:pStyle w:val="Subtitle"/>
      </w:pPr>
      <w:r>
        <w:t>How TriageTrail removes avoidable barriers while preserving the integrity of course outcomes and assessment.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056"/>
      </w:tblGrid>
      <w:tr>
        <w:trPr>
          <w:tblHeader w:val="true"/>
        </w:trPr>
        <w:tc>
          <w:tcPr>
            <w:tcW w:type="dxa" w:w="2448"/>
            <w:shd w:fill="123D3A"/>
            <w:vAlign w:val="center"/>
          </w:tcPr>
          <w:p>
            <w:r>
              <w:rPr>
                <w:b/>
                <w:color w:val="FFFFFF"/>
              </w:rPr>
              <w:t>Organisation</w:t>
            </w:r>
          </w:p>
        </w:tc>
        <w:tc>
          <w:tcPr>
            <w:tcW w:type="dxa" w:w="7056"/>
            <w:shd w:fill="EAF6F0"/>
            <w:vAlign w:val="center"/>
          </w:tcPr>
          <w:p>
            <w:r>
              <w:t>TriageTrail Medical Academy Ltd</w:t>
            </w:r>
          </w:p>
        </w:tc>
      </w:tr>
      <w:tr>
        <w:tc>
          <w:tcPr>
            <w:tcW w:type="dxa" w:w="2448"/>
            <w:shd w:fill="E9EFED"/>
            <w:vAlign w:val="center"/>
          </w:tcPr>
          <w:p>
            <w:r>
              <w:rPr>
                <w:b/>
                <w:color w:val="172321"/>
              </w:rPr>
              <w:t>Company number</w:t>
            </w:r>
          </w:p>
        </w:tc>
        <w:tc>
          <w:tcPr>
            <w:tcW w:type="dxa" w:w="7056"/>
            <w:shd w:fill="FFFFFF"/>
            <w:vAlign w:val="center"/>
          </w:tcPr>
          <w:p>
            <w:r>
              <w:t>17503559</w:t>
            </w:r>
          </w:p>
        </w:tc>
      </w:tr>
      <w:tr>
        <w:tc>
          <w:tcPr>
            <w:tcW w:type="dxa" w:w="2448"/>
            <w:shd w:fill="E9EFED"/>
            <w:vAlign w:val="center"/>
          </w:tcPr>
          <w:p>
            <w:r>
              <w:rPr>
                <w:b/>
                <w:color w:val="172321"/>
              </w:rPr>
              <w:t>Policy owner</w:t>
            </w:r>
          </w:p>
        </w:tc>
        <w:tc>
          <w:tcPr>
            <w:tcW w:type="dxa" w:w="7056"/>
            <w:shd w:fill="EAF6F0"/>
            <w:vAlign w:val="center"/>
          </w:tcPr>
          <w:p>
            <w:r>
              <w:t>Ben Harper, Director</w:t>
            </w:r>
          </w:p>
        </w:tc>
      </w:tr>
      <w:tr>
        <w:tc>
          <w:tcPr>
            <w:tcW w:type="dxa" w:w="2448"/>
            <w:shd w:fill="E9EFED"/>
            <w:vAlign w:val="center"/>
          </w:tcPr>
          <w:p>
            <w:r>
              <w:rPr>
                <w:b/>
                <w:color w:val="172321"/>
              </w:rPr>
              <w:t>Version</w:t>
            </w:r>
          </w:p>
        </w:tc>
        <w:tc>
          <w:tcPr>
            <w:tcW w:type="dxa" w:w="7056"/>
            <w:shd w:fill="FFFFFF"/>
            <w:vAlign w:val="center"/>
          </w:tcPr>
          <w:p>
            <w:r>
              <w:t>1.0</w:t>
            </w:r>
          </w:p>
        </w:tc>
      </w:tr>
      <w:tr>
        <w:tc>
          <w:tcPr>
            <w:tcW w:type="dxa" w:w="2448"/>
            <w:shd w:fill="E9EFED"/>
            <w:vAlign w:val="center"/>
          </w:tcPr>
          <w:p>
            <w:r>
              <w:rPr>
                <w:b/>
                <w:color w:val="172321"/>
              </w:rPr>
              <w:t>Effective date</w:t>
            </w:r>
          </w:p>
        </w:tc>
        <w:tc>
          <w:tcPr>
            <w:tcW w:type="dxa" w:w="7056"/>
            <w:shd w:fill="EAF6F0"/>
            <w:vAlign w:val="center"/>
          </w:tcPr>
          <w:p>
            <w:r>
              <w:t>7 October 2026</w:t>
            </w:r>
          </w:p>
        </w:tc>
      </w:tr>
      <w:tr>
        <w:tc>
          <w:tcPr>
            <w:tcW w:type="dxa" w:w="2448"/>
            <w:shd w:fill="E9EFED"/>
            <w:vAlign w:val="center"/>
          </w:tcPr>
          <w:p>
            <w:r>
              <w:rPr>
                <w:b/>
                <w:color w:val="172321"/>
              </w:rPr>
              <w:t>Next review</w:t>
            </w:r>
          </w:p>
        </w:tc>
        <w:tc>
          <w:tcPr>
            <w:tcW w:type="dxa" w:w="7056"/>
            <w:shd w:fill="FFFFFF"/>
            <w:vAlign w:val="center"/>
          </w:tcPr>
          <w:p>
            <w:r>
              <w:t>7 October 2027</w:t>
            </w:r>
          </w:p>
        </w:tc>
      </w:tr>
      <w:tr>
        <w:tc>
          <w:tcPr>
            <w:tcW w:type="dxa" w:w="2448"/>
            <w:shd w:fill="E9EFED"/>
            <w:vAlign w:val="center"/>
          </w:tcPr>
          <w:p>
            <w:r>
              <w:rPr>
                <w:b/>
                <w:color w:val="172321"/>
              </w:rPr>
              <w:t>Contact route</w:t>
            </w:r>
          </w:p>
        </w:tc>
        <w:tc>
          <w:tcPr>
            <w:tcW w:type="dxa" w:w="7056"/>
            <w:shd w:fill="EAF6F0"/>
            <w:vAlign w:val="center"/>
          </w:tcPr>
          <w:p>
            <w:r>
              <w:t>https://triagetrail.uk/contact</w:t>
            </w:r>
          </w:p>
        </w:tc>
      </w:tr>
    </w:tbl>
    <w:p/>
    <w:p>
      <w:pPr>
        <w:pStyle w:val="Heading1"/>
      </w:pPr>
      <w:r>
        <w:t>Principles</w:t>
      </w:r>
    </w:p>
    <w:p>
      <w:r>
        <w:t>TriageTrail considers individual needs fairly and in line with the Equality Act 2010. A reasonable adjustment changes access or assessment arrangements to reduce a substantial disadvantage. Special consideration is a limited post-event response where temporary circumstances materially affected performance. Neither changes the knowledge or outcome being assessed.</w:t>
      </w:r>
    </w:p>
    <w:p>
      <w:pPr>
        <w:pStyle w:val="Heading1"/>
      </w:pPr>
      <w:r>
        <w:t>Requesting support</w:t>
      </w:r>
    </w:p>
    <w:p>
      <w:r>
        <w:t>A learner should use https://triagetrail.uk/contact as early as possible, identifying the course, barrier, requested arrangement and relevant timing. Only the minimum evidence reasonably needed will be requested. Learners should not send full medical records or patient information.</w:t>
      </w:r>
    </w:p>
    <w:p>
      <w:pPr>
        <w:pStyle w:val="Heading1"/>
      </w:pPr>
      <w:r>
        <w:t>Possible adjustments</w:t>
      </w:r>
    </w:p>
    <w:p>
      <w:pPr>
        <w:pStyle w:val="ListBullet"/>
      </w:pPr>
      <w:r>
        <w:t>Accessible HTML or document format, enlarged text or improved contrast</w:t>
      </w:r>
    </w:p>
    <w:p>
      <w:pPr>
        <w:pStyle w:val="ListBullet"/>
      </w:pPr>
      <w:r>
        <w:t>Keyboard-compatible navigation, captions, transcripts or descriptive alternatives</w:t>
      </w:r>
    </w:p>
    <w:p>
      <w:pPr>
        <w:pStyle w:val="ListBullet"/>
      </w:pPr>
      <w:r>
        <w:t>Additional time, rest breaks or a different assessment window</w:t>
      </w:r>
    </w:p>
    <w:p>
      <w:pPr>
        <w:pStyle w:val="ListBullet"/>
      </w:pPr>
      <w:r>
        <w:t>Use of assistive technology</w:t>
      </w:r>
    </w:p>
    <w:p>
      <w:pPr>
        <w:pStyle w:val="ListBullet"/>
      </w:pPr>
      <w:r>
        <w:t>Alternative communication or support arrangements</w:t>
      </w:r>
    </w:p>
    <w:p>
      <w:pPr>
        <w:pStyle w:val="ListBullet"/>
      </w:pPr>
      <w:r>
        <w:t>A different but equivalent way to demonstrate the same knowledge where feasible</w:t>
      </w:r>
    </w:p>
    <w:p>
      <w:pPr>
        <w:pStyle w:val="Heading1"/>
      </w:pPr>
      <w:r>
        <w:t>Decision factors</w:t>
      </w:r>
    </w:p>
    <w:p>
      <w:pPr>
        <w:pStyle w:val="ListBullet"/>
      </w:pPr>
      <w:r>
        <w:t>Effectiveness in removing the disadvantage</w:t>
      </w:r>
    </w:p>
    <w:p>
      <w:pPr>
        <w:pStyle w:val="ListBullet"/>
      </w:pPr>
      <w:r>
        <w:t>Whether the intended learning outcome and assessment validity are preserved</w:t>
      </w:r>
    </w:p>
    <w:p>
      <w:pPr>
        <w:pStyle w:val="ListBullet"/>
      </w:pPr>
      <w:r>
        <w:t>Learner safety, information security and impact on others</w:t>
      </w:r>
    </w:p>
    <w:p>
      <w:pPr>
        <w:pStyle w:val="ListBullet"/>
      </w:pPr>
      <w:r>
        <w:t>Practicality, cost and available alternatives</w:t>
      </w:r>
    </w:p>
    <w:p>
      <w:pPr>
        <w:pStyle w:val="ListBullet"/>
      </w:pPr>
      <w:r>
        <w:t>Course and accreditor requirements, where applicable</w:t>
      </w:r>
    </w:p>
    <w:p>
      <w:pPr>
        <w:pStyle w:val="Heading1"/>
      </w:pPr>
      <w:r>
        <w:t>Process</w:t>
      </w:r>
    </w:p>
    <w:p>
      <w:pPr>
        <w:pStyle w:val="ListNumber"/>
      </w:pPr>
      <w:r>
        <w:t>Acknowledge the request within 3 working days.</w:t>
      </w:r>
    </w:p>
    <w:p>
      <w:pPr>
        <w:pStyle w:val="ListNumber"/>
      </w:pPr>
      <w:r>
        <w:t>Discuss the barrier and effective options with the learner where useful.</w:t>
      </w:r>
    </w:p>
    <w:p>
      <w:pPr>
        <w:pStyle w:val="ListNumber"/>
      </w:pPr>
      <w:r>
        <w:t>Record the decision, reasons, agreed arrangement and implementation owner.</w:t>
      </w:r>
    </w:p>
    <w:p>
      <w:pPr>
        <w:pStyle w:val="ListNumber"/>
      </w:pPr>
      <w:r>
        <w:t>Confirm arrangements before the relevant assessment where reasonably possible.</w:t>
      </w:r>
    </w:p>
    <w:p>
      <w:pPr>
        <w:pStyle w:val="ListNumber"/>
      </w:pPr>
      <w:r>
        <w:t>Review effectiveness and make a further adjustment if needed.</w:t>
      </w:r>
    </w:p>
    <w:p>
      <w:pPr>
        <w:pStyle w:val="Heading1"/>
      </w:pPr>
      <w:r>
        <w:t>Special consideration</w:t>
      </w:r>
    </w:p>
    <w:p>
      <w:r>
        <w:t>A learner should report a temporary illness, bereavement, serious disruption or comparable circumstance as soon as possible and normally within 5 working days of the affected assessment. Possible outcomes include an extension, voided attempt, fresh assessment or deferral. Marks are not increased without defensible evidence and a published rule.</w:t>
      </w:r>
    </w:p>
    <w:p>
      <w:pPr>
        <w:pStyle w:val="Heading1"/>
      </w:pPr>
      <w:r>
        <w:t>Confidentiality and appeal</w:t>
      </w:r>
    </w:p>
    <w:p>
      <w:r>
        <w:t>Sensitive information is restricted and retained only as necessary. A learner may appeal a refusal, limitation or failed implementation under the Appeals Policy. Raising a request will not disadvantage the learner.</w:t>
      </w:r>
    </w:p>
    <w:p>
      <w:pPr>
        <w:pStyle w:val="Heading1"/>
      </w:pPr>
      <w:r>
        <w:t>Approval and document control</w:t>
      </w:r>
    </w:p>
    <w:p>
      <w:r>
        <w:t>The Director approves this policy and is responsible for making it available, implementing it and reviewing it after a material change, a relevant incident or by the review date, whichever comes first.</w:t>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93"/>
        <w:gridCol w:w="3293"/>
        <w:gridCol w:w="3293"/>
      </w:tblGrid>
      <w:tr>
        <w:trPr>
          <w:tblHeader w:val="true"/>
        </w:trPr>
        <w:tc>
          <w:tcPr>
            <w:tcW w:type="dxa" w:w="3293"/>
            <w:vAlign w:val="center"/>
            <w:shd w:fill="123D3A"/>
          </w:tcPr>
          <w:p>
            <w:r>
              <w:rPr>
                <w:b/>
                <w:color w:val="FFFFFF"/>
              </w:rPr>
              <w:t>Approved by</w:t>
            </w:r>
          </w:p>
        </w:tc>
        <w:tc>
          <w:tcPr>
            <w:tcW w:type="dxa" w:w="3293"/>
            <w:vAlign w:val="center"/>
            <w:shd w:fill="123D3A"/>
          </w:tcPr>
          <w:p>
            <w:r>
              <w:rPr>
                <w:b/>
                <w:color w:val="FFFFFF"/>
              </w:rPr>
              <w:t>Signature</w:t>
            </w:r>
          </w:p>
        </w:tc>
        <w:tc>
          <w:tcPr>
            <w:tcW w:type="dxa" w:w="3293"/>
            <w:vAlign w:val="center"/>
            <w:shd w:fill="123D3A"/>
          </w:tcPr>
          <w:p>
            <w:r>
              <w:rPr>
                <w:b/>
                <w:color w:val="FFFFFF"/>
              </w:rPr>
              <w:t>Date</w:t>
            </w:r>
          </w:p>
        </w:tc>
      </w:tr>
      <w:tr>
        <w:tc>
          <w:tcPr>
            <w:tcW w:type="dxa" w:w="3293"/>
            <w:vAlign w:val="center"/>
            <w:shd w:fill="FFFFFF"/>
          </w:tcPr>
          <w:p>
            <w:r>
              <w:rPr>
                <w:b/>
              </w:rPr>
              <w:t>Ben Harper, Director</w:t>
            </w:r>
          </w:p>
        </w:tc>
        <w:tc>
          <w:tcPr>
            <w:tcW w:type="dxa" w:w="3293"/>
            <w:vAlign w:val="center"/>
            <w:shd w:fill="FFFFFF"/>
          </w:tcPr>
          <w:p>
            <w:r/>
          </w:p>
        </w:tc>
        <w:tc>
          <w:tcPr>
            <w:tcW w:type="dxa" w:w="3293"/>
            <w:vAlign w:val="center"/>
            <w:shd w:fill="FFFFFF"/>
          </w:tcPr>
          <w:p>
            <w:r>
              <w:t>7 October 2026</w:t>
            </w:r>
          </w:p>
        </w:tc>
      </w:tr>
    </w:tbl>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E6B"/>
        <w:sz w:val="16"/>
      </w:rPr>
      <w:t>Controlled policy  |  TriageTrail Medical Academy Ltd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310896" cy="310896"/>
          <wp:docPr id="1" name="Picture 1" descr="TriageTrail Medical Academy logo" title="TriageTrail Medical Academy"/>
          <wp:cNvGraphicFramePr>
            <a:graphicFrameLocks noChangeAspect="1"/>
          </wp:cNvGraphicFramePr>
          <a:graphic>
            <a:graphicData uri="http://schemas.openxmlformats.org/drawingml/2006/picture">
              <pic:pic>
                <pic:nvPicPr>
                  <pic:cNvPr id="0" name="triagetrail-icon-transparent.png"/>
                  <pic:cNvPicPr/>
                </pic:nvPicPr>
                <pic:blipFill>
                  <a:blip r:embed="rId1"/>
                  <a:stretch>
                    <a:fillRect/>
                  </a:stretch>
                </pic:blipFill>
                <pic:spPr>
                  <a:xfrm>
                    <a:off x="0" y="0"/>
                    <a:ext cx="310896" cy="310896"/>
                  </a:xfrm>
                  <a:prstGeom prst="rect"/>
                </pic:spPr>
              </pic:pic>
            </a:graphicData>
          </a:graphic>
        </wp:inline>
      </w:drawing>
    </w:r>
    <w:r>
      <w:rPr>
        <w:rFonts w:ascii="Arial" w:hAnsi="Arial"/>
        <w:b/>
        <w:color w:val="073453"/>
        <w:sz w:val="16"/>
      </w:rPr>
      <w:t xml:space="preserve">  TRIAGETRAIL  |  MEDICAL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32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Reasonable Adjustments and Special Consideration Policy</dc:title>
  <dc:subject>TriageTrail Medical Academy quality policy</dc:subject>
  <dc:creator>TriageTrail Medical Academy Ltd</dc:creator>
  <cp:keywords>CPD, quality assurance, medical education</cp:keywords>
  <dc:description>generated by python-docx</dc:description>
  <cp:lastModifiedBy/>
  <cp:revision>1</cp:revision>
  <dcterms:created xsi:type="dcterms:W3CDTF">2013-12-23T23:15:00Z</dcterms:created>
  <dcterms:modified xsi:type="dcterms:W3CDTF">2013-12-23T23:15:00Z</dcterms:modified>
  <cp:category/>
</cp:coreProperties>
</file>