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Equality Diversity and Learner Charter</w:t>
      </w:r>
    </w:p>
    <w:p>
      <w:pPr>
        <w:pStyle w:val="Subtitle"/>
      </w:pPr>
      <w:r>
        <w:t>The standards of fair access, dignity, accessibility and learner conduct that apply across TriageTrail education.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Commitment</w:t>
      </w:r>
    </w:p>
    <w:p>
      <w:r>
        <w:t>TriageTrail seeks to provide an inclusive learning environment in which people are treated with dignity and can access education without unlawful discrimination, harassment or victimisation. Decisions are based on relevant educational and operational criteria.</w:t>
      </w:r>
    </w:p>
    <w:p>
      <w:pPr>
        <w:pStyle w:val="Heading1"/>
      </w:pPr>
      <w:r>
        <w:t>Protected characteristics</w:t>
      </w:r>
    </w:p>
    <w:p>
      <w:r>
        <w:t>The Equality Act 2010 protects people in relation to age, disability, gender reassignment, marriage and civil partnership, pregnancy and maternity, race, religion or belief, sex and sexual orientation. TriageTrail also aims to remove avoidable barriers linked to caring responsibilities, digital access, language, socioeconomic circumstances and neurodiversity where reasonably practicable.</w:t>
      </w:r>
    </w:p>
    <w:p>
      <w:pPr>
        <w:pStyle w:val="Heading1"/>
      </w:pPr>
      <w:r>
        <w:t>Learners can expect</w:t>
      </w:r>
    </w:p>
    <w:p>
      <w:pPr>
        <w:pStyle w:val="ListBullet"/>
      </w:pPr>
      <w:r>
        <w:t>Clear information about audience, prerequisites, outcomes, price, assessment and course boundaries</w:t>
      </w:r>
    </w:p>
    <w:p>
      <w:pPr>
        <w:pStyle w:val="ListBullet"/>
      </w:pPr>
      <w:r>
        <w:t>Accessible design and a confidential route to request reasonable adjustments</w:t>
      </w:r>
    </w:p>
    <w:p>
      <w:pPr>
        <w:pStyle w:val="ListBullet"/>
      </w:pPr>
      <w:r>
        <w:t>Respectful, inclusive language and representative examples</w:t>
      </w:r>
    </w:p>
    <w:p>
      <w:pPr>
        <w:pStyle w:val="ListBullet"/>
      </w:pPr>
      <w:r>
        <w:t>Consistent assessment against published outcomes</w:t>
      </w:r>
    </w:p>
    <w:p>
      <w:pPr>
        <w:pStyle w:val="ListBullet"/>
      </w:pPr>
      <w:r>
        <w:t>Routes for feedback, complaint and appeal without disadvantage</w:t>
      </w:r>
    </w:p>
    <w:p>
      <w:pPr>
        <w:pStyle w:val="ListBullet"/>
      </w:pPr>
      <w:r>
        <w:t>Protection of personal information and prompt handling of safety concerns</w:t>
      </w:r>
    </w:p>
    <w:p>
      <w:pPr>
        <w:pStyle w:val="Heading1"/>
      </w:pPr>
      <w:r>
        <w:t>TriageTrail expects learners to</w:t>
      </w:r>
    </w:p>
    <w:p>
      <w:pPr>
        <w:pStyle w:val="ListBullet"/>
      </w:pPr>
      <w:r>
        <w:t>Treat others respectfully and avoid discriminatory, harassing or abusive behaviour</w:t>
      </w:r>
    </w:p>
    <w:p>
      <w:pPr>
        <w:pStyle w:val="ListBullet"/>
      </w:pPr>
      <w:r>
        <w:t>Submit their own assessment work and protect account access</w:t>
      </w:r>
    </w:p>
    <w:p>
      <w:pPr>
        <w:pStyle w:val="ListBullet"/>
      </w:pPr>
      <w:r>
        <w:t>Use clinical learning within their competence, role and local governance</w:t>
      </w:r>
    </w:p>
    <w:p>
      <w:pPr>
        <w:pStyle w:val="ListBullet"/>
      </w:pPr>
      <w:r>
        <w:t>Avoid entering patient-identifiable information</w:t>
      </w:r>
    </w:p>
    <w:p>
      <w:pPr>
        <w:pStyle w:val="ListBullet"/>
      </w:pPr>
      <w:r>
        <w:t>Report accessibility barriers, unsafe content or safeguarding concerns promptly</w:t>
      </w:r>
    </w:p>
    <w:p>
      <w:pPr>
        <w:pStyle w:val="Heading1"/>
      </w:pPr>
      <w:r>
        <w:t>Reasonable adjustments</w:t>
      </w:r>
    </w:p>
    <w:p>
      <w:r>
        <w:t>Requests are considered individually under the Reasonable Adjustments and Special Consideration Policy. An adjustment should remove or reduce a disadvantage while preserving the learning outcome being assessed. Refusals and alternatives are explained and can be appealed.</w:t>
      </w:r>
    </w:p>
    <w:p>
      <w:pPr>
        <w:pStyle w:val="Heading1"/>
      </w:pPr>
      <w:r>
        <w:t>Monitoring and action</w:t>
      </w:r>
    </w:p>
    <w:p>
      <w:r>
        <w:t>TriageTrail reviews accessibility findings, adjustment requests, complaints, appeals and outcome patterns where data is sufficient and lawful. Suspected discrimination or harassment is investigated under the Complaints or Malpractice Policy. Appropriate remedies may include access changes, content correction, conduct restrictions and training.</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 Equality Diversity Learner Charter</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